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0757" w14:textId="09971C75" w:rsidR="003B286C" w:rsidRPr="000148A4" w:rsidRDefault="003B286C" w:rsidP="000148A4">
      <w:pPr>
        <w:pStyle w:val="Heading1"/>
      </w:pPr>
      <w:r w:rsidRPr="000148A4">
        <w:t>Garden TOOLS Reflective Practice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B286C" w14:paraId="4E04E6E2" w14:textId="77777777" w:rsidTr="003B286C">
        <w:tc>
          <w:tcPr>
            <w:tcW w:w="3237" w:type="dxa"/>
          </w:tcPr>
          <w:p w14:paraId="31943F06" w14:textId="77777777" w:rsidR="003B286C" w:rsidRDefault="003B286C"/>
        </w:tc>
        <w:tc>
          <w:tcPr>
            <w:tcW w:w="3237" w:type="dxa"/>
          </w:tcPr>
          <w:p w14:paraId="1F428CEB" w14:textId="664C93C0" w:rsidR="003B286C" w:rsidRPr="000148A4" w:rsidRDefault="003B286C" w:rsidP="000148A4">
            <w:pPr>
              <w:jc w:val="center"/>
              <w:rPr>
                <w:b/>
                <w:bCs/>
              </w:rPr>
            </w:pPr>
            <w:r w:rsidRPr="000148A4">
              <w:rPr>
                <w:b/>
                <w:bCs/>
              </w:rPr>
              <w:t>Excellent</w:t>
            </w:r>
          </w:p>
        </w:tc>
        <w:tc>
          <w:tcPr>
            <w:tcW w:w="3238" w:type="dxa"/>
          </w:tcPr>
          <w:p w14:paraId="5724CEA3" w14:textId="78DD4C80" w:rsidR="003B286C" w:rsidRPr="000148A4" w:rsidRDefault="003B286C" w:rsidP="000148A4">
            <w:pPr>
              <w:jc w:val="center"/>
              <w:rPr>
                <w:b/>
                <w:bCs/>
              </w:rPr>
            </w:pPr>
            <w:r w:rsidRPr="000148A4">
              <w:rPr>
                <w:b/>
                <w:bCs/>
              </w:rPr>
              <w:t>Average</w:t>
            </w:r>
          </w:p>
        </w:tc>
        <w:tc>
          <w:tcPr>
            <w:tcW w:w="3238" w:type="dxa"/>
          </w:tcPr>
          <w:p w14:paraId="3A18370E" w14:textId="0F45D880" w:rsidR="003B286C" w:rsidRPr="000148A4" w:rsidRDefault="003B286C" w:rsidP="000148A4">
            <w:pPr>
              <w:jc w:val="center"/>
              <w:rPr>
                <w:b/>
                <w:bCs/>
              </w:rPr>
            </w:pPr>
            <w:r w:rsidRPr="000148A4">
              <w:rPr>
                <w:b/>
                <w:bCs/>
              </w:rPr>
              <w:t>Insufficient</w:t>
            </w:r>
          </w:p>
        </w:tc>
      </w:tr>
      <w:tr w:rsidR="003B286C" w14:paraId="052FB437" w14:textId="77777777" w:rsidTr="000148A4">
        <w:tc>
          <w:tcPr>
            <w:tcW w:w="3237" w:type="dxa"/>
            <w:vAlign w:val="center"/>
          </w:tcPr>
          <w:p w14:paraId="2D1A3AED" w14:textId="2171A741" w:rsidR="003B286C" w:rsidRDefault="003B286C" w:rsidP="000148A4">
            <w:pPr>
              <w:jc w:val="center"/>
            </w:pPr>
            <w:r>
              <w:t>Insight and Observations – Teacher Perspective</w:t>
            </w:r>
          </w:p>
        </w:tc>
        <w:tc>
          <w:tcPr>
            <w:tcW w:w="3237" w:type="dxa"/>
          </w:tcPr>
          <w:p w14:paraId="6253733B" w14:textId="1AB5E7E1" w:rsidR="003B286C" w:rsidRDefault="003B286C">
            <w:r>
              <w:t>Reflection includes sophisticated and thoughtful observations as well as a high degree of insight and analysis, shows evidence that experience has been processed and reflected upon to influence future instruction</w:t>
            </w:r>
          </w:p>
        </w:tc>
        <w:tc>
          <w:tcPr>
            <w:tcW w:w="3238" w:type="dxa"/>
          </w:tcPr>
          <w:p w14:paraId="3678962B" w14:textId="04843B74" w:rsidR="003B286C" w:rsidRDefault="003B286C">
            <w:r>
              <w:t>Reflection includes both observations and insights, but reflection lacks depth of analysis, unclear how future instruction will be influenced by what was learned</w:t>
            </w:r>
          </w:p>
        </w:tc>
        <w:tc>
          <w:tcPr>
            <w:tcW w:w="3238" w:type="dxa"/>
          </w:tcPr>
          <w:p w14:paraId="4B25D380" w14:textId="5DA99BAE" w:rsidR="003B286C" w:rsidRDefault="00041C47">
            <w:r>
              <w:t>Reflection includes s</w:t>
            </w:r>
            <w:r w:rsidR="003B286C">
              <w:t>implistic observations, provides little or no insight, comment, or analysis, more descriptive than reflective, no indication that what was learned will influence future instruction</w:t>
            </w:r>
          </w:p>
        </w:tc>
      </w:tr>
      <w:tr w:rsidR="003B286C" w14:paraId="555E2977" w14:textId="77777777" w:rsidTr="000148A4">
        <w:tc>
          <w:tcPr>
            <w:tcW w:w="3237" w:type="dxa"/>
            <w:vAlign w:val="center"/>
          </w:tcPr>
          <w:p w14:paraId="122145E0" w14:textId="6A939983" w:rsidR="003B286C" w:rsidRDefault="00041C47" w:rsidP="000148A4">
            <w:pPr>
              <w:jc w:val="center"/>
            </w:pPr>
            <w:r>
              <w:t xml:space="preserve">Insight and Observations </w:t>
            </w:r>
            <w:r>
              <w:t xml:space="preserve">– </w:t>
            </w:r>
            <w:r w:rsidR="003B286C">
              <w:t>Learner Perspective</w:t>
            </w:r>
          </w:p>
        </w:tc>
        <w:tc>
          <w:tcPr>
            <w:tcW w:w="3237" w:type="dxa"/>
          </w:tcPr>
          <w:p w14:paraId="21825614" w14:textId="2EA9498F" w:rsidR="003B286C" w:rsidRDefault="00041C47">
            <w:r>
              <w:t>Reflection includes observations or insights informed by learners’ perspectives, indicates how learners’ needs were met or unmet during the experience and provides a plan for adjusting future instruction</w:t>
            </w:r>
          </w:p>
        </w:tc>
        <w:tc>
          <w:tcPr>
            <w:tcW w:w="3238" w:type="dxa"/>
          </w:tcPr>
          <w:p w14:paraId="202CFD7B" w14:textId="5FA99556" w:rsidR="003B286C" w:rsidRDefault="00041C47">
            <w:r>
              <w:t>Reflection includes observations or insights</w:t>
            </w:r>
            <w:r>
              <w:t xml:space="preserve"> informed by </w:t>
            </w:r>
            <w:r>
              <w:t>learners’ perspectives</w:t>
            </w:r>
            <w:r>
              <w:t>, indicates how learners’ needs were met or unmet during the experience, few or no plans for adjusting future instruction to meet students’ needs</w:t>
            </w:r>
          </w:p>
        </w:tc>
        <w:tc>
          <w:tcPr>
            <w:tcW w:w="3238" w:type="dxa"/>
          </w:tcPr>
          <w:p w14:paraId="790524B5" w14:textId="59CA7F0E" w:rsidR="003B286C" w:rsidRDefault="00041C47">
            <w:r>
              <w:t>Reflection does not include any insights or observations informed by learners’ perspectives</w:t>
            </w:r>
          </w:p>
        </w:tc>
      </w:tr>
      <w:tr w:rsidR="003B286C" w14:paraId="07F43B4B" w14:textId="77777777" w:rsidTr="000148A4">
        <w:tc>
          <w:tcPr>
            <w:tcW w:w="3237" w:type="dxa"/>
            <w:vAlign w:val="center"/>
          </w:tcPr>
          <w:p w14:paraId="1869A1DC" w14:textId="6132C99C" w:rsidR="003B286C" w:rsidRDefault="003B286C" w:rsidP="000148A4">
            <w:pPr>
              <w:jc w:val="center"/>
            </w:pPr>
            <w:r>
              <w:t>Broader Context</w:t>
            </w:r>
          </w:p>
        </w:tc>
        <w:tc>
          <w:tcPr>
            <w:tcW w:w="3237" w:type="dxa"/>
          </w:tcPr>
          <w:p w14:paraId="2773306B" w14:textId="0659E5D9" w:rsidR="003B286C" w:rsidRDefault="00041C47">
            <w:r>
              <w:t>Reflection considers the learning experience within a broader</w:t>
            </w:r>
            <w:r w:rsidR="000148A4">
              <w:t>,</w:t>
            </w:r>
            <w:r>
              <w:t xml:space="preserve"> real-world context</w:t>
            </w:r>
            <w:r w:rsidR="000148A4">
              <w:t>, includes discussion of external resources or influences that could relate to future instruction</w:t>
            </w:r>
          </w:p>
        </w:tc>
        <w:tc>
          <w:tcPr>
            <w:tcW w:w="3238" w:type="dxa"/>
          </w:tcPr>
          <w:p w14:paraId="091534E4" w14:textId="301342AE" w:rsidR="003B286C" w:rsidRDefault="000148A4">
            <w:r>
              <w:t xml:space="preserve">Reflection </w:t>
            </w:r>
            <w:r>
              <w:t>considers the learning experience within a broader</w:t>
            </w:r>
            <w:r>
              <w:t>,</w:t>
            </w:r>
            <w:r>
              <w:t xml:space="preserve"> real-world context, </w:t>
            </w:r>
            <w:r>
              <w:t>but does NOT include</w:t>
            </w:r>
            <w:r>
              <w:t xml:space="preserve"> discussion of </w:t>
            </w:r>
            <w:r>
              <w:t>external</w:t>
            </w:r>
            <w:r>
              <w:t xml:space="preserve"> resources or influences that could </w:t>
            </w:r>
            <w:r>
              <w:t>relate to</w:t>
            </w:r>
            <w:r>
              <w:t xml:space="preserve"> future instruction</w:t>
            </w:r>
          </w:p>
        </w:tc>
        <w:tc>
          <w:tcPr>
            <w:tcW w:w="3238" w:type="dxa"/>
          </w:tcPr>
          <w:p w14:paraId="0D9AD544" w14:textId="131CA268" w:rsidR="003B286C" w:rsidRDefault="000148A4">
            <w:r>
              <w:t>Reflection does not consider the learning experience within a broader, real-world context.</w:t>
            </w:r>
          </w:p>
        </w:tc>
      </w:tr>
    </w:tbl>
    <w:p w14:paraId="79F5FC3C" w14:textId="77777777" w:rsidR="003B286C" w:rsidRDefault="003B286C"/>
    <w:sectPr w:rsidR="003B286C" w:rsidSect="003B28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GroteskMed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C"/>
    <w:rsid w:val="000148A4"/>
    <w:rsid w:val="00041C47"/>
    <w:rsid w:val="0024197B"/>
    <w:rsid w:val="003B286C"/>
    <w:rsid w:val="006D5A02"/>
    <w:rsid w:val="007E2D68"/>
    <w:rsid w:val="00E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91EE"/>
  <w15:chartTrackingRefBased/>
  <w15:docId w15:val="{17908599-163D-45EF-9D87-A0FD5AA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8A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9B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48A4"/>
    <w:rPr>
      <w:rFonts w:asciiTheme="majorHAnsi" w:eastAsiaTheme="majorEastAsia" w:hAnsiTheme="majorHAnsi" w:cstheme="majorBidi"/>
      <w:color w:val="9B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L Colors">
      <a:dk1>
        <a:srgbClr val="000000"/>
      </a:dk1>
      <a:lt1>
        <a:srgbClr val="FFFFFF"/>
      </a:lt1>
      <a:dk2>
        <a:srgbClr val="C7C8CA"/>
      </a:dk2>
      <a:lt2>
        <a:srgbClr val="C7C8CA"/>
      </a:lt2>
      <a:accent1>
        <a:srgbClr val="D00000"/>
      </a:accent1>
      <a:accent2>
        <a:srgbClr val="249AB5"/>
      </a:accent2>
      <a:accent3>
        <a:srgbClr val="FFD74F"/>
      </a:accent3>
      <a:accent4>
        <a:srgbClr val="BCCB2A"/>
      </a:accent4>
      <a:accent5>
        <a:srgbClr val="F58A1F"/>
      </a:accent5>
      <a:accent6>
        <a:srgbClr val="A5228D"/>
      </a:accent6>
      <a:hlink>
        <a:srgbClr val="005D84"/>
      </a:hlink>
      <a:folHlink>
        <a:srgbClr val="A5228D"/>
      </a:folHlink>
    </a:clrScheme>
    <a:fontScheme name="UNL Fonts">
      <a:majorFont>
        <a:latin typeface="URWGroteskMed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Ingram</dc:creator>
  <cp:keywords/>
  <dc:description/>
  <cp:lastModifiedBy>Erin Ingram</cp:lastModifiedBy>
  <cp:revision>1</cp:revision>
  <dcterms:created xsi:type="dcterms:W3CDTF">2023-01-10T18:38:00Z</dcterms:created>
  <dcterms:modified xsi:type="dcterms:W3CDTF">2023-01-10T19:06:00Z</dcterms:modified>
</cp:coreProperties>
</file>